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5" w:rsidRPr="00552465" w:rsidRDefault="00552465" w:rsidP="00552465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АНОО </w:t>
      </w:r>
      <w:proofErr w:type="gramStart"/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</w:t>
      </w:r>
      <w:proofErr w:type="gramEnd"/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Центросоюза РФ «</w:t>
      </w:r>
      <w:bookmarkStart w:id="0" w:name="_GoBack"/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Российский университет кооперации</w:t>
      </w:r>
      <w:bookmarkEnd w:id="0"/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Краснодарский кооперативный институт (филиал)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Белорусский торгово-экономический университет потребительской кооперации, г. Гомель, Республика Беларусь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Кыргызский экономический университет им. М. </w:t>
      </w:r>
      <w:proofErr w:type="spellStart"/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Рыскулбекова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 Бишкек, Кыргызская Республика</w:t>
      </w:r>
    </w:p>
    <w:p w:rsidR="00552465" w:rsidRPr="00552465" w:rsidRDefault="00552465" w:rsidP="00552465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мая 2022 года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Краснодар</w:t>
      </w:r>
    </w:p>
    <w:p w:rsidR="00552465" w:rsidRPr="00552465" w:rsidRDefault="00552465" w:rsidP="00552465">
      <w:pPr>
        <w:spacing w:after="0" w:line="240" w:lineRule="auto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 принять участие в Международной научно-практической конференции 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«Экономические возможности России в условиях вызовов мировой экономики: подходы и решения»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состоится 25 мая 2022 года в Краснодаре.</w:t>
      </w:r>
    </w:p>
    <w:p w:rsidR="00552465" w:rsidRPr="00552465" w:rsidRDefault="00552465" w:rsidP="00552465">
      <w:pPr>
        <w:spacing w:after="44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конференции приглашаются научно-педагогические работники, обучающиеся, докторанты, аспиранты,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552465" w:rsidRPr="00552465" w:rsidRDefault="00552465" w:rsidP="00552465">
      <w:pPr>
        <w:spacing w:after="56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0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Научные направления конференции:</w:t>
      </w:r>
    </w:p>
    <w:p w:rsidR="00552465" w:rsidRPr="00552465" w:rsidRDefault="00552465" w:rsidP="00552465">
      <w:pPr>
        <w:spacing w:after="46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Пленарное заседание «Экономические интересы России и геополитические вызовы в условиях меняющего мира»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 «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Цифровизация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новые возможности развития бизнеса»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 «Социально-институциональные и инновационные направления развития информационной и экономической безопасности России»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3 «Потенциал инновационных решений и стратегические векторы развития экономики региона страны»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4 «Экономико-правовое обеспечение информационной и экономической безопасности России</w:t>
      </w:r>
      <w:r w:rsidRPr="005524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комитет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Молчан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А. С.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д-р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профессор, советник ректора, Краснодарский кооперативный институт (филиал) Российского университета кооперации, г. Краснодар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Лебедева С. Н.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д-р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профессор, ректор, Белорусский торгово-экономический университет потребительской кооперации, г. Гомель, Республика Беларусь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Лялюк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А. В.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доцент, проректор по научной работе, Краснодарский кооперативный институт (филиал) Российского университета кооперации, г. Краснодар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Багрянцева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Е. П.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доцент, проректор по научной работе, Белорусский торгово-экономический университет потребительской кооперации, г. Гомель, Республика Беларусь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Глущенко Т. Е.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доцент, декан экономического факультета, Краснодарский кооперативный институт (филиал) Российского университета кооперации, г. Краснодар</w:t>
      </w:r>
      <w:proofErr w:type="gramEnd"/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Джолдошева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Т. Ю.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доцент, директор Высшей школы магистратуры и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PhD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программ, профессор кафедры «Финансы и финансовый контроль», Кыргызский экономический университет им. М.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Рыскулбекова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г. Бишкек, Кыргызская Республика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Ходаринова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Н. В.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доцент, заведующий кафедрой бухгалтерского учета и информационных технологий, Краснодарский кооперативный институт (филиал) Российского университета кооперации, г. Краснодар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Решетняк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А. И.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доцент, руководитель центра организации НИР и ДО, Краснодарский кооперативный институт (филиал) Российского университета кооперации, г. Краснодар</w:t>
      </w:r>
      <w:proofErr w:type="gramEnd"/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Франциско О. Ю.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доцент, научный сотрудник, Краснодарский кооперативный институт (филиал) Российского университета кооперации, г. Краснодар, технический секретарь комитета</w:t>
      </w:r>
      <w:proofErr w:type="gramEnd"/>
    </w:p>
    <w:p w:rsidR="00552465" w:rsidRPr="00552465" w:rsidRDefault="00552465" w:rsidP="00552465">
      <w:pPr>
        <w:spacing w:after="119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25 мая 2022 года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конференции в 10.00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</w:t>
      </w:r>
      <w:r w:rsidRPr="00552465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: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Краснодарский кооперативный институт (филиал) РУК, г. Краснодар, ул. им. Митрофана Седина 168/1, ауд. 107.</w:t>
      </w:r>
      <w:proofErr w:type="gramEnd"/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0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Возможно заочное и удаленное (онлайн) участие.</w:t>
      </w:r>
    </w:p>
    <w:p w:rsidR="00552465" w:rsidRPr="00552465" w:rsidRDefault="00552465" w:rsidP="00552465">
      <w:pPr>
        <w:spacing w:after="0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Default="0055246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br w:type="page"/>
      </w:r>
    </w:p>
    <w:p w:rsidR="00552465" w:rsidRPr="00552465" w:rsidRDefault="00552465" w:rsidP="00552465">
      <w:pPr>
        <w:spacing w:after="0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УСЛОВИЯ УЧАСТИЯ В КОНФЕРЕНЦИИ:</w:t>
      </w:r>
    </w:p>
    <w:p w:rsidR="00552465" w:rsidRPr="00552465" w:rsidRDefault="00552465" w:rsidP="00552465">
      <w:pPr>
        <w:spacing w:after="122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включения статьи в сборник конференции необходимо в срок до 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 мая 2022 г.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(включительно) прислать на электронный адрес </w:t>
      </w:r>
      <w:proofErr w:type="spellStart"/>
      <w:r w:rsidRPr="0055246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val="en-US" w:eastAsia="ru-RU"/>
        </w:rPr>
        <w:t>kki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_</w:t>
      </w:r>
      <w:proofErr w:type="spellStart"/>
      <w:r w:rsidRPr="0055246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val="en-US" w:eastAsia="ru-RU"/>
        </w:rPr>
        <w:t>conf</w:t>
      </w:r>
      <w:proofErr w:type="spellEnd"/>
      <w:r w:rsidRPr="0055246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@</w:t>
      </w:r>
      <w:r w:rsidRPr="0055246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val="en-US" w:eastAsia="ru-RU"/>
        </w:rPr>
        <w:t>mail</w:t>
      </w:r>
      <w:r w:rsidRPr="0055246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55246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следующие документы: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статью объемом 3-5 страниц, ключевые слова, аннотация и литература входят в общий объем статьи (пример оформления статьи см. ниже).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 (пример оформления заявки см. ниже);           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отправки письма в течение суток будет выслан ответ. В случае если ответ не пришел, отправьте письмо повторно.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возмещения организационных, издательских расходов авторам необходимо оплатить организационный взнос. 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Размер организационного взноса – 590 руб.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(за одну статью)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Стоимость сертификата участника конференции – 200 руб.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(сертификат оформляется только на одного участника, для 2-го и последующих авторов оплата дополнительно).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27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После одобрения статьи оргкомитетом, на адрес Вашей электронной почты будут направлены реквизиты для оплаты статьи.</w:t>
      </w:r>
    </w:p>
    <w:p w:rsidR="00552465" w:rsidRPr="00552465" w:rsidRDefault="00552465" w:rsidP="00552465">
      <w:pPr>
        <w:spacing w:after="0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0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ТРЕБОВАНИЯ К ОФОРМЛЕНИЮ МАТЕРИАЛОВ ДЛЯ ПУБЛИКАЦИИ</w:t>
      </w:r>
    </w:p>
    <w:p w:rsidR="00552465" w:rsidRPr="00552465" w:rsidRDefault="00552465" w:rsidP="00552465">
      <w:pPr>
        <w:spacing w:after="120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оформляются в текстовом редакторе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2003-2010 следующим образом: формат А</w:t>
      </w:r>
      <w:proofErr w:type="gram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шрифт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 New Roman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14 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pt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через 1 интервал, абзацный отступ 1,25, выравнивание по ширине. 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 поля по 2,5 см.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Страницы не нумеровать, не использовать автоматическую расстановку переносов слов, не выделять те</w:t>
      </w:r>
      <w:proofErr w:type="gram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цв</w:t>
      </w:r>
      <w:proofErr w:type="gram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етом, не применять опции «границы» и «заливка».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литературы размещается в конце статьи. В тексте ссылки на источники даются в квадратных скобках с указанием номера из списка литературы [3]. Использование автоматических постраничных ссылок не допускается. Список литературы оформляется в соответствии с ГОСТ </w:t>
      </w:r>
      <w:proofErr w:type="gram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7.0.100-2018. Список литературы нумеруется вручную (не автоматически).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Таблицы оформлять 12 кеглем интервал 1,0. На каждую таблицу обязательна ссылка по тексту статьи.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Структура статьи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УДК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верхнем левом углу.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Название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статьи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русском языке указывается прописными буквами, полужирно, по центру.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Название статьи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английском языке прописными буквами, полужирно, по центру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интервал с выравниванием по правому краю –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инициалы и фамилия автора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ученая степень, звание, которые должны быть напечатаны в правом верхнем углу строчными буквами. На следующей строке наименование места работы (учебы).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Ключевые слова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русском и английском языке – 5-7 слов;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Аннотация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русском и английском языке – рекомендуемый объем аннотации от 3 до 5 предложений обычного текста, не повторяющегося в статье;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интервал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</w:t>
      </w:r>
      <w:proofErr w:type="gram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кст ст</w:t>
      </w:r>
      <w:proofErr w:type="gram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атьи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актуальность, содержание, вывод / заключение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55246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 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интервал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Литература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Файлы с материалами должны быть названы по фамилии первого автора, указанного в статье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(например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«Иванов заявка», «Иванов оплата», «Иванов статья»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Метаданные статей и аннотации будут размещены в РИНЦ.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Статьи будут изданы в авторской редакции, должны быть тщательно отредактированы, не содержать ошибок. Материалы, предоставленные не вовремя или оформленные с отступлениями от указанных требований, к публикации не принимаются.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Организационный комитет оставляет за собой право отбора материала для публикации, с проверкой текста на оригинальность в системе «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Антиплагиат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552465" w:rsidRPr="00552465" w:rsidRDefault="00552465" w:rsidP="00552465">
      <w:pPr>
        <w:spacing w:after="11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Default="0055246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552465" w:rsidRPr="00552465" w:rsidRDefault="00552465" w:rsidP="00552465">
      <w:pPr>
        <w:spacing w:after="5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ПРИМЕР ОФОРМЛЕНИЯ СТАТЬИ:</w:t>
      </w:r>
    </w:p>
    <w:p w:rsidR="00552465" w:rsidRPr="00552465" w:rsidRDefault="00552465" w:rsidP="00552465">
      <w:pPr>
        <w:spacing w:after="147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0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 378.147</w:t>
      </w:r>
    </w:p>
    <w:p w:rsidR="00552465" w:rsidRPr="00552465" w:rsidRDefault="00552465" w:rsidP="00552465">
      <w:pPr>
        <w:spacing w:after="159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4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ЦИФРОВЫЕ ТЕХНОЛОГИИ В АГРАРНОМ ОБРАЗОВАНИИ</w:t>
      </w:r>
    </w:p>
    <w:p w:rsidR="00552465" w:rsidRPr="00552465" w:rsidRDefault="00552465" w:rsidP="00552465">
      <w:pPr>
        <w:spacing w:after="0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4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DIGITAL TECHNOLOGIES IN AGRICULTURAL EDUCATION</w:t>
      </w:r>
    </w:p>
    <w:p w:rsidR="00552465" w:rsidRPr="00552465" w:rsidRDefault="00552465" w:rsidP="00552465">
      <w:pPr>
        <w:spacing w:after="22" w:line="240" w:lineRule="auto"/>
        <w:ind w:left="180" w:right="1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Иванов</w:t>
      </w:r>
      <w:proofErr w:type="spellEnd"/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 Н.Н., </w:t>
      </w:r>
      <w:proofErr w:type="spellStart"/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к.э.н</w:t>
      </w:r>
      <w:proofErr w:type="spellEnd"/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 xml:space="preserve">., </w:t>
      </w:r>
      <w:proofErr w:type="spellStart"/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доцент</w:t>
      </w:r>
      <w:proofErr w:type="spellEnd"/>
    </w:p>
    <w:p w:rsidR="00552465" w:rsidRPr="00552465" w:rsidRDefault="00552465" w:rsidP="00552465">
      <w:pPr>
        <w:spacing w:after="22" w:line="240" w:lineRule="auto"/>
        <w:ind w:left="180" w:right="1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Петров А.И., студент</w:t>
      </w:r>
    </w:p>
    <w:p w:rsidR="00552465" w:rsidRPr="00552465" w:rsidRDefault="00552465" w:rsidP="00552465">
      <w:pPr>
        <w:spacing w:after="22" w:line="240" w:lineRule="auto"/>
        <w:ind w:left="180" w:right="1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Краснодарский кооперативный институт</w:t>
      </w:r>
    </w:p>
    <w:p w:rsidR="00552465" w:rsidRPr="00552465" w:rsidRDefault="00552465" w:rsidP="00552465">
      <w:pPr>
        <w:spacing w:after="0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11" w:line="247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Аннотация. </w:t>
      </w:r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Рассмотрены проблемы перехода к цифровым технологиям на современном этапе организации и реализации инновационной направленности целостного образовательного процесса в аграрном вузе.</w:t>
      </w:r>
    </w:p>
    <w:p w:rsidR="00552465" w:rsidRPr="00552465" w:rsidRDefault="00552465" w:rsidP="00552465">
      <w:pPr>
        <w:spacing w:after="42" w:line="247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Annotation.</w:t>
      </w:r>
      <w:proofErr w:type="gramEnd"/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 </w:t>
      </w:r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The problems of transition to digital technologies at the present stage of organization and implementation of the innovative orientation of the integrated educational process in an agricultural university are considered.</w:t>
      </w:r>
    </w:p>
    <w:p w:rsidR="00552465" w:rsidRPr="00552465" w:rsidRDefault="00552465" w:rsidP="00552465">
      <w:pPr>
        <w:spacing w:after="11" w:line="247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Ключевые слова: </w:t>
      </w:r>
      <w:proofErr w:type="spellStart"/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цифровизация</w:t>
      </w:r>
      <w:proofErr w:type="spellEnd"/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инновации, образовательный процесс, технологии, образование</w:t>
      </w:r>
    </w:p>
    <w:p w:rsidR="00552465" w:rsidRPr="00552465" w:rsidRDefault="00552465" w:rsidP="00552465">
      <w:pPr>
        <w:spacing w:after="11" w:line="247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5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Keywords: </w:t>
      </w:r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digitalization, innovation, educational process, technology, education</w:t>
      </w:r>
    </w:p>
    <w:p w:rsidR="00552465" w:rsidRPr="00552465" w:rsidRDefault="00552465" w:rsidP="00552465">
      <w:pPr>
        <w:spacing w:after="25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5246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 </w:t>
      </w:r>
    </w:p>
    <w:p w:rsidR="00552465" w:rsidRPr="00552465" w:rsidRDefault="00552465" w:rsidP="00552465">
      <w:pPr>
        <w:spacing w:after="0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тенденции </w:t>
      </w:r>
      <w:proofErr w:type="spellStart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экономики ведут к необходимости реализации данного процесса и в сфере образования. Инновационные цифровые технологии направлены на решение конкретных профессиональных задач, выявление современных проблем и конструирование их эффективных решений [1].</w:t>
      </w:r>
    </w:p>
    <w:p w:rsidR="00552465" w:rsidRPr="00552465" w:rsidRDefault="00552465" w:rsidP="00552465">
      <w:pPr>
        <w:spacing w:after="28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4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</w:t>
      </w:r>
    </w:p>
    <w:p w:rsidR="00552465" w:rsidRPr="00552465" w:rsidRDefault="00552465" w:rsidP="00552465">
      <w:pPr>
        <w:spacing w:after="0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Белова Е. В. Инновационные технологии в высшем образовании // Цифровое образование. – 2019. – № 8. – С. 167-176.</w:t>
      </w:r>
    </w:p>
    <w:p w:rsidR="00552465" w:rsidRPr="00552465" w:rsidRDefault="00552465" w:rsidP="00552465">
      <w:pPr>
        <w:spacing w:after="0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 </w:t>
      </w:r>
    </w:p>
    <w:p w:rsidR="00552465" w:rsidRDefault="0055246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552465" w:rsidRPr="00552465" w:rsidRDefault="00552465" w:rsidP="00552465">
      <w:pPr>
        <w:spacing w:after="5" w:line="240" w:lineRule="auto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ПРИМЕР ОФОРМЛЕНИЯ ЗАЯВКИ</w:t>
      </w:r>
    </w:p>
    <w:p w:rsidR="00552465" w:rsidRPr="00552465" w:rsidRDefault="00552465" w:rsidP="00552465">
      <w:pPr>
        <w:spacing w:after="26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0" w:line="269" w:lineRule="atLeast"/>
        <w:ind w:left="180" w:right="1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на участие </w:t>
      </w: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автора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должна быть заполнена 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каждого автора</w:t>
      </w: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выполняется по образцу. Сведения должны быть точными и актуальными.</w:t>
      </w:r>
    </w:p>
    <w:p w:rsidR="00552465" w:rsidRPr="00552465" w:rsidRDefault="00552465" w:rsidP="00552465">
      <w:pPr>
        <w:spacing w:after="43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2465" w:rsidRPr="00552465" w:rsidRDefault="00552465" w:rsidP="00552465">
      <w:pPr>
        <w:spacing w:after="0" w:line="269" w:lineRule="atLeast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на участие в международной научно-практической конференции</w:t>
      </w:r>
    </w:p>
    <w:p w:rsidR="00552465" w:rsidRPr="00552465" w:rsidRDefault="00552465" w:rsidP="00552465">
      <w:pPr>
        <w:spacing w:after="0" w:line="269" w:lineRule="atLeast"/>
        <w:ind w:left="180" w:right="1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«Экономические возможности России в условиях вызовов мировой экономики: подходы и решения»</w:t>
      </w:r>
    </w:p>
    <w:p w:rsidR="00552465" w:rsidRPr="00552465" w:rsidRDefault="00552465" w:rsidP="00552465">
      <w:pPr>
        <w:spacing w:after="0" w:line="269" w:lineRule="atLeast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3921"/>
      </w:tblGrid>
      <w:tr w:rsidR="00552465" w:rsidRPr="00552465" w:rsidTr="00552465">
        <w:trPr>
          <w:trHeight w:val="319"/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Фамилия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имя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отчество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автора</w:t>
            </w:r>
            <w:proofErr w:type="spellEnd"/>
          </w:p>
        </w:tc>
        <w:tc>
          <w:tcPr>
            <w:tcW w:w="5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322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Место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работы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учебы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319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Должность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курс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факультет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322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Ученая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степень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ученое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звание</w:t>
            </w:r>
            <w:proofErr w:type="spellEnd"/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319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Необходимость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оформления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сертификата</w:t>
            </w:r>
            <w:proofErr w:type="spellEnd"/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322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SPIN</w:t>
            </w: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-код автора (при наличии)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52465" w:rsidRPr="00552465" w:rsidTr="00552465">
        <w:trPr>
          <w:trHeight w:val="319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Контактный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322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319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Название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статьи</w:t>
            </w:r>
            <w:proofErr w:type="spellEnd"/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552465" w:rsidRPr="00552465" w:rsidTr="00552465">
        <w:trPr>
          <w:trHeight w:val="943"/>
          <w:jc w:val="center"/>
        </w:trPr>
        <w:tc>
          <w:tcPr>
            <w:tcW w:w="10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" w:type="dxa"/>
              <w:left w:w="108" w:type="dxa"/>
              <w:bottom w:w="0" w:type="dxa"/>
              <w:right w:w="122" w:type="dxa"/>
            </w:tcMar>
            <w:hideMark/>
          </w:tcPr>
          <w:p w:rsidR="00552465" w:rsidRPr="00552465" w:rsidRDefault="00552465" w:rsidP="00552465">
            <w:pPr>
              <w:spacing w:after="0" w:line="240" w:lineRule="auto"/>
              <w:ind w:left="180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не возражает против публикации аннотации статьи и персональных данных в системе </w:t>
            </w:r>
            <w:proofErr w:type="spellStart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eLibrary</w:t>
            </w:r>
            <w:proofErr w:type="spellEnd"/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(Российский индекс научного цитирования (РИНЦ) Личная подпись и дата </w:t>
            </w:r>
            <w:r w:rsidRPr="005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(обязательно)</w:t>
            </w:r>
            <w:r w:rsidRPr="005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_____________________</w:t>
            </w:r>
            <w:proofErr w:type="gramEnd"/>
          </w:p>
        </w:tc>
      </w:tr>
    </w:tbl>
    <w:p w:rsidR="00552465" w:rsidRPr="00552465" w:rsidRDefault="00552465" w:rsidP="00552465">
      <w:pPr>
        <w:spacing w:after="0" w:line="240" w:lineRule="auto"/>
        <w:ind w:left="180" w:right="1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E402F" w:rsidRDefault="007E402F"/>
    <w:sectPr w:rsidR="007E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B"/>
    <w:rsid w:val="000E755B"/>
    <w:rsid w:val="00552465"/>
    <w:rsid w:val="007E402F"/>
    <w:rsid w:val="00D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2022-04-20T19:58:00Z</dcterms:created>
  <dcterms:modified xsi:type="dcterms:W3CDTF">2022-04-20T20:04:00Z</dcterms:modified>
</cp:coreProperties>
</file>